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E2BCF" w:rsidRPr="00D23653" w:rsidRDefault="00FE2BCF" w:rsidP="00AB1FC6">
      <w:pPr>
        <w:pStyle w:val="Prrafodelista"/>
        <w:ind w:left="142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885B60" w:rsidRPr="00D23653" w:rsidRDefault="00885B60" w:rsidP="003718DE">
      <w:pPr>
        <w:pStyle w:val="Prrafodelista"/>
        <w:numPr>
          <w:ilvl w:val="0"/>
          <w:numId w:val="2"/>
        </w:numPr>
        <w:tabs>
          <w:tab w:val="left" w:pos="1134"/>
        </w:tabs>
        <w:ind w:left="567" w:firstLine="0"/>
        <w:rPr>
          <w:color w:val="17365D" w:themeColor="text2" w:themeShade="BF"/>
          <w:sz w:val="20"/>
          <w:szCs w:val="20"/>
        </w:rPr>
      </w:pPr>
      <w:r w:rsidRPr="0016467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Sociedad en comandita por</w:t>
      </w:r>
      <w:r w:rsidRPr="00D236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6467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acciones:</w:t>
      </w:r>
      <w:r w:rsidRPr="00D236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Se aplican las disposiciones relativas a la sociedad Anónima. Su </w:t>
      </w:r>
      <w:r w:rsidR="003718DE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capital está dividido en acciones y si</w:t>
      </w:r>
    </w:p>
    <w:p w:rsidR="00AB1FC6" w:rsidRPr="00D23653" w:rsidRDefault="003718DE" w:rsidP="003718DE">
      <w:pPr>
        <w:pStyle w:val="Prrafodelista"/>
        <w:tabs>
          <w:tab w:val="left" w:pos="1134"/>
        </w:tabs>
        <w:ind w:left="567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pertenecen</w:t>
      </w:r>
      <w:r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los socios colectivos, las </w:t>
      </w:r>
    </w:p>
    <w:p w:rsidR="00AB1FC6" w:rsidRPr="00757B0E" w:rsidRDefault="003718DE" w:rsidP="003718DE">
      <w:pPr>
        <w:pStyle w:val="Prrafodelista"/>
        <w:tabs>
          <w:tab w:val="left" w:pos="1134"/>
        </w:tabs>
        <w:ind w:left="567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acciones no podrán cederse sin el 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consentimiento de la totalidad de los colectivos y mayoría absoluta de los comanditarios. La razón social incluye las palabras “Sociedad en Comandita por acciones” o la abreviatura </w:t>
      </w:r>
      <w:r w:rsidR="00AB1FC6" w:rsidRPr="00757B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S. en C. por A.</w:t>
      </w:r>
    </w:p>
    <w:p w:rsidR="00AB1FC6" w:rsidRPr="00D23653" w:rsidRDefault="00AB1FC6" w:rsidP="00AB1FC6">
      <w:pPr>
        <w:pStyle w:val="Prrafodelista"/>
        <w:tabs>
          <w:tab w:val="left" w:pos="1134"/>
        </w:tabs>
        <w:ind w:lef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64676" w:rsidRDefault="00164676" w:rsidP="00902760">
      <w:pPr>
        <w:pStyle w:val="Prrafodelista"/>
        <w:ind w:left="851" w:hanging="284"/>
        <w:jc w:val="lef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g) </w:t>
      </w:r>
      <w:r w:rsidR="00AB1FC6" w:rsidRPr="0016467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Sociedad Comercial </w:t>
      </w:r>
      <w:r w:rsidR="00AB1FC6" w:rsidRPr="00D236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6467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de </w:t>
      </w:r>
      <w:r w:rsidR="0090276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</w:t>
      </w:r>
      <w:r w:rsidR="00AB1FC6" w:rsidRPr="0016467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Responsabilidad Limitada:</w:t>
      </w:r>
      <w:r w:rsidR="00AB1FC6" w:rsidRPr="00D236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AB1FC6" w:rsidRPr="00D23653" w:rsidRDefault="00164676" w:rsidP="00164676">
      <w:pPr>
        <w:pStyle w:val="Prrafodelista"/>
        <w:tabs>
          <w:tab w:val="left" w:pos="993"/>
        </w:tabs>
        <w:ind w:left="567" w:firstLine="28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 esta sociedad, el capital esta dividido en </w:t>
      </w:r>
      <w:r w:rsidR="00AB1FC6" w:rsidRPr="00D236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participaciones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B1FC6" w:rsidRPr="00A07D7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iguales acumulables e indivisibles 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que no pueden ser incorporados en Títulos Valores ni denominarse Acciones. Los socios no pueden ser más de </w:t>
      </w:r>
      <w:r w:rsidR="00AB1FC6" w:rsidRPr="00757B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y no responden personalmente por las obligaciones sociales. Al constituirse la sociedad, el capital debe de estar pagado en no menos del </w:t>
      </w:r>
      <w:r w:rsidR="00AB1FC6" w:rsidRPr="00757B0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25%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de cada participación.</w:t>
      </w:r>
    </w:p>
    <w:p w:rsidR="00D23653" w:rsidRPr="00902760" w:rsidRDefault="00902760" w:rsidP="00EC623E">
      <w:pPr>
        <w:pStyle w:val="Prrafodelista"/>
        <w:ind w:left="567" w:firstLine="284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-4750435</wp:posOffset>
            </wp:positionV>
            <wp:extent cx="2485390" cy="3081020"/>
            <wp:effectExtent l="171450" t="133350" r="353060" b="309880"/>
            <wp:wrapSquare wrapText="bothSides"/>
            <wp:docPr id="1" name="0 Imagen" descr="EM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308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La administración de la sociedad se encarga a uno o más gerentes, socios o no. </w:t>
      </w:r>
      <w:r w:rsidR="00AB1FC6"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La duración de la sociedad es ilimitada o </w:t>
      </w:r>
      <w:r w:rsidR="00AB1FC6" w:rsidRPr="00902760">
        <w:rPr>
          <w:rFonts w:ascii="Times New Roman" w:hAnsi="Times New Roman" w:cs="Times New Roman"/>
          <w:color w:val="17365D" w:themeColor="text2" w:themeShade="BF"/>
        </w:rPr>
        <w:t xml:space="preserve">limitada La denominación incluye las indicaciones “Sociedad Comercial de Responsabilidad Limitada” o las abreviaturas </w:t>
      </w:r>
      <w:r w:rsidR="00AB1FC6" w:rsidRPr="00757B0E">
        <w:rPr>
          <w:rFonts w:ascii="Times New Roman" w:hAnsi="Times New Roman" w:cs="Times New Roman"/>
          <w:b/>
          <w:color w:val="17365D" w:themeColor="text2" w:themeShade="BF"/>
        </w:rPr>
        <w:t>S.R.L.</w:t>
      </w:r>
      <w:r w:rsidR="00AB1FC6" w:rsidRPr="00902760">
        <w:rPr>
          <w:rFonts w:ascii="Times New Roman" w:hAnsi="Times New Roman" w:cs="Times New Roman"/>
          <w:color w:val="17365D" w:themeColor="text2" w:themeShade="BF"/>
        </w:rPr>
        <w:t xml:space="preserve"> Tienen cierta similitud con las Sociedades Anónimas Cerradas.</w:t>
      </w:r>
    </w:p>
    <w:p w:rsidR="00AB1FC6" w:rsidRPr="00902760" w:rsidRDefault="00AB1FC6" w:rsidP="00EC623E">
      <w:pPr>
        <w:pStyle w:val="Prrafodelista"/>
        <w:ind w:left="1353" w:hanging="360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AB1FC6" w:rsidRPr="00D23653" w:rsidRDefault="00AB1FC6" w:rsidP="00AB1FC6">
      <w:pPr>
        <w:pStyle w:val="Prrafodelista"/>
        <w:ind w:left="248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B1FC6" w:rsidRPr="00D23653" w:rsidRDefault="00AB1FC6" w:rsidP="00AB1FC6">
      <w:pPr>
        <w:pStyle w:val="Prrafodelista"/>
        <w:spacing w:line="240" w:lineRule="auto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885B60" w:rsidRPr="00D23653" w:rsidRDefault="00885B60" w:rsidP="00885B60">
      <w:pPr>
        <w:pStyle w:val="Prrafodelista"/>
        <w:ind w:left="567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D2365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http://www.educagratis.org/moodle/</w:t>
      </w:r>
    </w:p>
    <w:p w:rsidR="00AB1FC6" w:rsidRPr="00D23653" w:rsidRDefault="00AB1FC6" w:rsidP="00AB1FC6">
      <w:pPr>
        <w:pStyle w:val="Prrafodelista"/>
        <w:spacing w:line="240" w:lineRule="auto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D23653" w:rsidRDefault="00FE2BCF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D23653" w:rsidRDefault="00FE2BCF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Default="00FE2BCF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902760" w:rsidRDefault="00902760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902760" w:rsidRDefault="00902760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902760" w:rsidRDefault="00902760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902760" w:rsidRPr="00D23653" w:rsidRDefault="00902760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D23653" w:rsidRDefault="00164676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85725</wp:posOffset>
            </wp:positionV>
            <wp:extent cx="1555750" cy="1501775"/>
            <wp:effectExtent l="133350" t="38100" r="63500" b="60325"/>
            <wp:wrapTight wrapText="bothSides">
              <wp:wrapPolygon edited="0">
                <wp:start x="1322" y="-548"/>
                <wp:lineTo x="0" y="0"/>
                <wp:lineTo x="-1851" y="2740"/>
                <wp:lineTo x="-1851" y="18084"/>
                <wp:lineTo x="-793" y="21372"/>
                <wp:lineTo x="1058" y="22468"/>
                <wp:lineTo x="1322" y="22468"/>
                <wp:lineTo x="19043" y="22468"/>
                <wp:lineTo x="19308" y="22468"/>
                <wp:lineTo x="20895" y="21372"/>
                <wp:lineTo x="21424" y="21372"/>
                <wp:lineTo x="22217" y="18084"/>
                <wp:lineTo x="22217" y="3836"/>
                <wp:lineTo x="22482" y="3014"/>
                <wp:lineTo x="20366" y="0"/>
                <wp:lineTo x="19043" y="-548"/>
                <wp:lineTo x="1322" y="-548"/>
              </wp:wrapPolygon>
            </wp:wrapTight>
            <wp:docPr id="2" name="1 Imagen" descr="CON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01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E2BCF" w:rsidRPr="00D23653" w:rsidRDefault="00FE2BCF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D23653" w:rsidRDefault="00FE2BCF" w:rsidP="00FE2BCF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D23653" w:rsidRPr="00D23653" w:rsidRDefault="00D23653" w:rsidP="00D23653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885B60" w:rsidRDefault="00885B60" w:rsidP="00D23653">
      <w:pPr>
        <w:pStyle w:val="Prrafodelista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5B60" w:rsidRDefault="00885B60" w:rsidP="00D23653">
      <w:pPr>
        <w:pStyle w:val="Prrafodelista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5B60" w:rsidRDefault="00885B60" w:rsidP="00D23653">
      <w:pPr>
        <w:pStyle w:val="Prrafodelista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5B60" w:rsidRDefault="00885B60" w:rsidP="00D23653">
      <w:pPr>
        <w:pStyle w:val="Prrafodelista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5B60" w:rsidRDefault="00885B60" w:rsidP="00D23653">
      <w:pPr>
        <w:pStyle w:val="Prrafodelista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2BCF" w:rsidRPr="00164676" w:rsidRDefault="00D23653" w:rsidP="00D23653">
      <w:pPr>
        <w:pStyle w:val="Prrafodelista"/>
        <w:ind w:left="85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4676">
        <w:rPr>
          <w:rFonts w:ascii="Times New Roman" w:hAnsi="Times New Roman" w:cs="Times New Roman"/>
          <w:b/>
          <w:color w:val="0070C0"/>
          <w:sz w:val="28"/>
          <w:szCs w:val="28"/>
        </w:rPr>
        <w:t>mirasta83@hotmail.com</w:t>
      </w:r>
    </w:p>
    <w:p w:rsidR="00FE2BCF" w:rsidRDefault="00FE2BCF" w:rsidP="00164676">
      <w:pPr>
        <w:pStyle w:val="Prrafodelista"/>
        <w:ind w:left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902760" w:rsidRDefault="00902760" w:rsidP="00164676">
      <w:pPr>
        <w:pStyle w:val="Prrafodelista"/>
        <w:ind w:left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902760" w:rsidRDefault="00902760" w:rsidP="00164676">
      <w:pPr>
        <w:pStyle w:val="Prrafodelista"/>
        <w:ind w:left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D23653" w:rsidRDefault="00D23653" w:rsidP="00381A41">
      <w:pPr>
        <w:pStyle w:val="Prrafodelista"/>
        <w:ind w:left="142"/>
        <w:jc w:val="center"/>
        <w:rPr>
          <w:rFonts w:ascii="Algerian" w:hAnsi="Algerian" w:cs="Times New Roman"/>
          <w:b/>
          <w:color w:val="17365D" w:themeColor="text2" w:themeShade="BF"/>
          <w:sz w:val="48"/>
          <w:szCs w:val="48"/>
        </w:rPr>
      </w:pPr>
      <w:r w:rsidRPr="004B20D5">
        <w:rPr>
          <w:rFonts w:ascii="Algerian" w:hAnsi="Algerian" w:cs="Times New Roman"/>
          <w:b/>
          <w:color w:val="17365D" w:themeColor="text2" w:themeShade="BF"/>
          <w:sz w:val="48"/>
          <w:szCs w:val="48"/>
        </w:rPr>
        <w:t>TIPOS DE SOCIEDADES</w:t>
      </w:r>
    </w:p>
    <w:p w:rsidR="00D23653" w:rsidRPr="00D23653" w:rsidRDefault="00D23653" w:rsidP="00902760">
      <w:pPr>
        <w:pStyle w:val="Prrafodelista"/>
        <w:ind w:left="1353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381A41" w:rsidRDefault="00902760" w:rsidP="00902760">
      <w:pPr>
        <w:pStyle w:val="Prrafodelista"/>
        <w:ind w:left="567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Prof. </w:t>
      </w:r>
    </w:p>
    <w:p w:rsidR="00381A41" w:rsidRDefault="00902760" w:rsidP="00902760">
      <w:pPr>
        <w:pStyle w:val="Prrafodelista"/>
        <w:ind w:left="567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Jacqueline Eustaquio</w:t>
      </w:r>
      <w:r w:rsidR="00381A41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V.</w:t>
      </w:r>
    </w:p>
    <w:p w:rsidR="00902760" w:rsidRDefault="00902760" w:rsidP="00902760">
      <w:pPr>
        <w:pStyle w:val="Prrafodelista"/>
        <w:ind w:left="567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lastRenderedPageBreak/>
        <w:t xml:space="preserve"> </w:t>
      </w:r>
    </w:p>
    <w:p w:rsidR="00FE2BCF" w:rsidRPr="001D38B2" w:rsidRDefault="00FE2BCF" w:rsidP="00381A41">
      <w:pPr>
        <w:pStyle w:val="Prrafodelista"/>
        <w:spacing w:line="240" w:lineRule="auto"/>
        <w:ind w:left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1D38B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SOCIEDADES</w:t>
      </w:r>
    </w:p>
    <w:p w:rsidR="00FE2BCF" w:rsidRPr="00D23653" w:rsidRDefault="00FE2BCF" w:rsidP="00FE2BCF">
      <w:pPr>
        <w:pStyle w:val="Prrafodelista"/>
        <w:spacing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FE2BCF" w:rsidRPr="00902760" w:rsidRDefault="00FE2BCF" w:rsidP="00FE2BCF">
      <w:pPr>
        <w:pStyle w:val="Prrafodelista"/>
        <w:spacing w:line="240" w:lineRule="auto"/>
        <w:ind w:left="284" w:firstLine="284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color w:val="17365D" w:themeColor="text2" w:themeShade="BF"/>
        </w:rPr>
        <w:t xml:space="preserve">La sociedad </w:t>
      </w:r>
      <w:r w:rsidR="007E1349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902760">
        <w:rPr>
          <w:rFonts w:ascii="Times New Roman" w:hAnsi="Times New Roman" w:cs="Times New Roman"/>
          <w:color w:val="17365D" w:themeColor="text2" w:themeShade="BF"/>
        </w:rPr>
        <w:t>o compañía</w:t>
      </w:r>
      <w:r w:rsidR="00BB2C57">
        <w:rPr>
          <w:rFonts w:ascii="Times New Roman" w:hAnsi="Times New Roman" w:cs="Times New Roman"/>
          <w:color w:val="17365D" w:themeColor="text2" w:themeShade="BF"/>
        </w:rPr>
        <w:t>,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es un contrato por el que dos o más personas convienen aportar en común bienes o capital con el fin de repartirse las utilidades. La sociedad una vez constituida legalmente,  </w:t>
      </w:r>
      <w:r w:rsidR="00902760" w:rsidRPr="00902760">
        <w:rPr>
          <w:rFonts w:ascii="Times New Roman" w:hAnsi="Times New Roman" w:cs="Times New Roman"/>
          <w:color w:val="17365D" w:themeColor="text2" w:themeShade="BF"/>
        </w:rPr>
        <w:t>forma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una persona jurídica distinta de los socios individualmente considerados. Cualquiera sea este tipo de sociedad que se organice, debe constituirse por Escritura Publica registrada en una Notaria de la Localidad e inscribirse en el Registro Mercantil.</w:t>
      </w:r>
    </w:p>
    <w:p w:rsidR="00FE2BCF" w:rsidRPr="00D23653" w:rsidRDefault="00FE2BCF" w:rsidP="00FE2BCF">
      <w:pPr>
        <w:pStyle w:val="Prrafodelista"/>
        <w:spacing w:line="240" w:lineRule="auto"/>
        <w:ind w:left="567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164676" w:rsidRDefault="00FE2BCF" w:rsidP="00FE2BCF">
      <w:pPr>
        <w:pStyle w:val="Prrafodelista"/>
        <w:spacing w:line="240" w:lineRule="auto"/>
        <w:ind w:left="567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164676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6.1</w:t>
      </w:r>
      <w:r w:rsidRPr="001D38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 TIPOS DE SOCIEDADES</w:t>
      </w:r>
    </w:p>
    <w:p w:rsidR="00FE2BCF" w:rsidRPr="00D23653" w:rsidRDefault="00FE2BCF" w:rsidP="00FE2BCF">
      <w:pPr>
        <w:pStyle w:val="Prrafodelista"/>
        <w:spacing w:line="240" w:lineRule="auto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902760" w:rsidRDefault="00FE2BCF" w:rsidP="00FE28E9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b/>
          <w:color w:val="632423" w:themeColor="accent2" w:themeShade="80"/>
        </w:rPr>
        <w:t>Sociedad Anónima: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La administración de la sociedad esta a cargo del Directorio como órgano colegiado elegido por la Junta General de Accionistas el cual debe tener una duración no menor de 1 año ni mayor a 3años. A su vez el directorio elige al Gerente quien debe tener una duración indefinida.</w:t>
      </w:r>
    </w:p>
    <w:p w:rsidR="00FE2BCF" w:rsidRPr="00902760" w:rsidRDefault="00FE2BCF" w:rsidP="00FE2BCF">
      <w:pPr>
        <w:pStyle w:val="Prrafodelista"/>
        <w:spacing w:line="240" w:lineRule="auto"/>
        <w:ind w:left="567" w:firstLine="284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color w:val="17365D" w:themeColor="text2" w:themeShade="BF"/>
        </w:rPr>
        <w:t>La nueva Ley introduce dos formas especiales dos formas especiales de sociedades:</w:t>
      </w:r>
    </w:p>
    <w:p w:rsidR="00FE28E9" w:rsidRPr="00902760" w:rsidRDefault="00FE28E9" w:rsidP="00FE2BCF">
      <w:pPr>
        <w:pStyle w:val="Prrafodelista"/>
        <w:spacing w:line="240" w:lineRule="auto"/>
        <w:ind w:left="567" w:firstLine="284"/>
        <w:rPr>
          <w:rFonts w:ascii="Times New Roman" w:hAnsi="Times New Roman" w:cs="Times New Roman"/>
          <w:color w:val="17365D" w:themeColor="text2" w:themeShade="BF"/>
        </w:rPr>
      </w:pPr>
    </w:p>
    <w:p w:rsidR="00FE2BCF" w:rsidRPr="00902760" w:rsidRDefault="00FE2BCF" w:rsidP="00FE2BCF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02760">
        <w:rPr>
          <w:rFonts w:ascii="Times New Roman" w:hAnsi="Times New Roman" w:cs="Times New Roman"/>
          <w:b/>
          <w:color w:val="632423" w:themeColor="accent2" w:themeShade="80"/>
        </w:rPr>
        <w:t>Sociedad Anónima Cerrada</w:t>
      </w:r>
      <w:r w:rsidRPr="00902760">
        <w:rPr>
          <w:rFonts w:ascii="Times New Roman" w:hAnsi="Times New Roman" w:cs="Times New Roman"/>
          <w:color w:val="632423" w:themeColor="accent2" w:themeShade="80"/>
        </w:rPr>
        <w:t xml:space="preserve">, 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Se refiere a aquellas sociedades anónimas que no tienen mas de </w:t>
      </w:r>
      <w:r w:rsidRPr="00285B08">
        <w:rPr>
          <w:rFonts w:ascii="Times New Roman" w:hAnsi="Times New Roman" w:cs="Times New Roman"/>
          <w:b/>
          <w:color w:val="17365D" w:themeColor="text2" w:themeShade="BF"/>
        </w:rPr>
        <w:t>20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accionistas y sus acciones no estas inscritas en el Registro Publico del Mercado de Valores. La denominación debe incluir la </w:t>
      </w:r>
      <w:r w:rsidRPr="00902760">
        <w:rPr>
          <w:rFonts w:ascii="Times New Roman" w:hAnsi="Times New Roman" w:cs="Times New Roman"/>
          <w:color w:val="17365D" w:themeColor="text2" w:themeShade="BF"/>
        </w:rPr>
        <w:lastRenderedPageBreak/>
        <w:t xml:space="preserve">indicación” Sociedad Anónima Cerrada” o las siglas </w:t>
      </w:r>
      <w:r w:rsidRPr="00757B0E">
        <w:rPr>
          <w:rFonts w:ascii="Times New Roman" w:hAnsi="Times New Roman" w:cs="Times New Roman"/>
          <w:b/>
          <w:color w:val="17365D" w:themeColor="text2" w:themeShade="BF"/>
        </w:rPr>
        <w:t>S.A.C.</w:t>
      </w:r>
    </w:p>
    <w:p w:rsidR="00FE2BCF" w:rsidRPr="00D23653" w:rsidRDefault="00FE2BCF" w:rsidP="00FE2BCF">
      <w:pPr>
        <w:pStyle w:val="Prrafodelista"/>
        <w:spacing w:line="240" w:lineRule="auto"/>
        <w:ind w:left="1353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FE2BCF" w:rsidRPr="00902760" w:rsidRDefault="00947E39" w:rsidP="00FE28E9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b/>
          <w:noProof/>
          <w:color w:val="632423" w:themeColor="accent2" w:themeShade="80"/>
          <w:lang w:eastAsia="es-E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353366</wp:posOffset>
            </wp:positionH>
            <wp:positionV relativeFrom="paragraph">
              <wp:posOffset>-11499</wp:posOffset>
            </wp:positionV>
            <wp:extent cx="2547880" cy="1759286"/>
            <wp:effectExtent l="19050" t="0" r="4820" b="0"/>
            <wp:wrapNone/>
            <wp:docPr id="3" name="2 Imagen" descr="Junta_Direc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_Directiva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17" cy="17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BCF" w:rsidRPr="00902760">
        <w:rPr>
          <w:rFonts w:ascii="Times New Roman" w:hAnsi="Times New Roman" w:cs="Times New Roman"/>
          <w:b/>
          <w:color w:val="632423" w:themeColor="accent2" w:themeShade="80"/>
        </w:rPr>
        <w:t>Sociedad Anónima Abierta</w:t>
      </w:r>
      <w:r w:rsidR="00FE2BCF" w:rsidRPr="00902760">
        <w:rPr>
          <w:rFonts w:ascii="Times New Roman" w:hAnsi="Times New Roman" w:cs="Times New Roman"/>
          <w:color w:val="632423" w:themeColor="accent2" w:themeShade="80"/>
        </w:rPr>
        <w:t xml:space="preserve">: </w:t>
      </w:r>
      <w:r w:rsidR="00FE2BCF" w:rsidRPr="00902760">
        <w:rPr>
          <w:rFonts w:ascii="Times New Roman" w:hAnsi="Times New Roman" w:cs="Times New Roman"/>
          <w:color w:val="17365D" w:themeColor="text2" w:themeShade="BF"/>
        </w:rPr>
        <w:t xml:space="preserve">Se refiere a aquella sociedad que cumplen con uno mas requisitos: que las acciones estén inscritas en el Registro Publico del Mercado de Valores., </w:t>
      </w:r>
      <w:r w:rsidR="00285B08">
        <w:rPr>
          <w:rFonts w:ascii="Times New Roman" w:hAnsi="Times New Roman" w:cs="Times New Roman"/>
          <w:color w:val="17365D" w:themeColor="text2" w:themeShade="BF"/>
        </w:rPr>
        <w:t xml:space="preserve">y </w:t>
      </w:r>
      <w:r w:rsidR="00FE2BCF" w:rsidRPr="00902760">
        <w:rPr>
          <w:rFonts w:ascii="Times New Roman" w:hAnsi="Times New Roman" w:cs="Times New Roman"/>
          <w:color w:val="17365D" w:themeColor="text2" w:themeShade="BF"/>
        </w:rPr>
        <w:t xml:space="preserve">tener </w:t>
      </w:r>
      <w:r w:rsidRPr="00902760">
        <w:rPr>
          <w:rFonts w:ascii="Times New Roman" w:hAnsi="Times New Roman" w:cs="Times New Roman"/>
          <w:color w:val="17365D" w:themeColor="text2" w:themeShade="BF"/>
        </w:rPr>
        <w:t>más</w:t>
      </w:r>
      <w:r w:rsidR="00FE2BCF" w:rsidRPr="00902760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F23E3C" w:rsidRPr="00285B08">
        <w:rPr>
          <w:rFonts w:ascii="Times New Roman" w:hAnsi="Times New Roman" w:cs="Times New Roman"/>
          <w:b/>
          <w:color w:val="17365D" w:themeColor="text2" w:themeShade="BF"/>
        </w:rPr>
        <w:t>750</w:t>
      </w:r>
      <w:r w:rsidR="00F23E3C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FE2BCF" w:rsidRPr="00902760">
        <w:rPr>
          <w:rFonts w:ascii="Times New Roman" w:hAnsi="Times New Roman" w:cs="Times New Roman"/>
          <w:color w:val="17365D" w:themeColor="text2" w:themeShade="BF"/>
        </w:rPr>
        <w:t xml:space="preserve"> accionistas, que se constituya como tal, etc. La denominación debe incluir la indicación “Sociedad Anónima Abierta” o las siglas S.A.A.</w:t>
      </w:r>
    </w:p>
    <w:p w:rsidR="00FE2BCF" w:rsidRPr="00902760" w:rsidRDefault="00FE2BCF" w:rsidP="00FE2BCF">
      <w:pPr>
        <w:pStyle w:val="Prrafodelista"/>
        <w:spacing w:line="240" w:lineRule="auto"/>
        <w:ind w:left="1353"/>
        <w:rPr>
          <w:rFonts w:ascii="Times New Roman" w:hAnsi="Times New Roman" w:cs="Times New Roman"/>
          <w:color w:val="17365D" w:themeColor="text2" w:themeShade="BF"/>
        </w:rPr>
      </w:pPr>
    </w:p>
    <w:p w:rsidR="00FE2BCF" w:rsidRPr="00902760" w:rsidRDefault="00FE2BCF" w:rsidP="00FE28E9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b/>
          <w:color w:val="632423" w:themeColor="accent2" w:themeShade="80"/>
        </w:rPr>
        <w:t>Sociedad Anónima: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Son aquellas sociedades que cuentan entre </w:t>
      </w:r>
      <w:r w:rsidRPr="00757B0E">
        <w:rPr>
          <w:rFonts w:ascii="Times New Roman" w:hAnsi="Times New Roman" w:cs="Times New Roman"/>
          <w:b/>
          <w:color w:val="17365D" w:themeColor="text2" w:themeShade="BF"/>
        </w:rPr>
        <w:t>20 y 750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accionistas. </w:t>
      </w:r>
    </w:p>
    <w:p w:rsidR="00FE2BCF" w:rsidRPr="00902760" w:rsidRDefault="00FE2BCF" w:rsidP="00FE2BCF">
      <w:pPr>
        <w:pStyle w:val="Prrafodelista"/>
        <w:spacing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FE2BCF" w:rsidRPr="00902760" w:rsidRDefault="00FE2BCF" w:rsidP="00FE28E9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b/>
          <w:color w:val="632423" w:themeColor="accent2" w:themeShade="80"/>
        </w:rPr>
        <w:t>Sociedades Colectivas:</w:t>
      </w:r>
      <w:r w:rsidRPr="00902760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Todos los socios responden </w:t>
      </w:r>
      <w:r w:rsidR="003718DE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solidaria e ilimitadamente por las operaciones que efectué la empresa. Tienen </w:t>
      </w:r>
      <w:r w:rsidRPr="003718DE">
        <w:rPr>
          <w:rFonts w:ascii="Times New Roman" w:hAnsi="Times New Roman" w:cs="Times New Roman"/>
          <w:b/>
          <w:color w:val="17365D" w:themeColor="text2" w:themeShade="BF"/>
        </w:rPr>
        <w:t>plazo fijo de duración</w:t>
      </w:r>
      <w:r w:rsidRPr="00902760">
        <w:rPr>
          <w:rFonts w:ascii="Times New Roman" w:hAnsi="Times New Roman" w:cs="Times New Roman"/>
          <w:color w:val="17365D" w:themeColor="text2" w:themeShade="BF"/>
        </w:rPr>
        <w:t>. Las participaciones de los socios no pueden ser transmitidas a terceros sin el consentimiento de los demás socios.</w:t>
      </w:r>
    </w:p>
    <w:p w:rsidR="00FE2BCF" w:rsidRPr="00902760" w:rsidRDefault="00FE2BCF" w:rsidP="00FE2BCF">
      <w:pPr>
        <w:pStyle w:val="Prrafodelista"/>
        <w:spacing w:line="240" w:lineRule="auto"/>
        <w:ind w:left="1353"/>
        <w:rPr>
          <w:rFonts w:ascii="Times New Roman" w:hAnsi="Times New Roman" w:cs="Times New Roman"/>
          <w:color w:val="17365D" w:themeColor="text2" w:themeShade="BF"/>
        </w:rPr>
      </w:pPr>
    </w:p>
    <w:p w:rsidR="00AB1FC6" w:rsidRPr="00757B0E" w:rsidRDefault="00902760" w:rsidP="00AB1FC6">
      <w:pPr>
        <w:pStyle w:val="Prrafodelista"/>
        <w:tabs>
          <w:tab w:val="left" w:pos="851"/>
        </w:tabs>
        <w:ind w:left="567" w:firstLine="284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noProof/>
          <w:color w:val="17365D" w:themeColor="text2" w:themeShade="BF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490220</wp:posOffset>
            </wp:positionV>
            <wp:extent cx="1736725" cy="947420"/>
            <wp:effectExtent l="476250" t="95250" r="111125" b="119380"/>
            <wp:wrapTight wrapText="bothSides">
              <wp:wrapPolygon edited="0">
                <wp:start x="-1422" y="-2172"/>
                <wp:lineTo x="-1422" y="11727"/>
                <wp:lineTo x="-4976" y="16070"/>
                <wp:lineTo x="-5923" y="17807"/>
                <wp:lineTo x="-2132" y="24322"/>
                <wp:lineTo x="-1895" y="24322"/>
                <wp:lineTo x="21324" y="24322"/>
                <wp:lineTo x="22271" y="24322"/>
                <wp:lineTo x="22982" y="21716"/>
                <wp:lineTo x="22745" y="18676"/>
                <wp:lineTo x="22745" y="-2172"/>
                <wp:lineTo x="-1422" y="-2172"/>
              </wp:wrapPolygon>
            </wp:wrapTight>
            <wp:docPr id="5" name="4 Imagen" descr="DINE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9474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B1FC6" w:rsidRPr="00902760">
        <w:rPr>
          <w:rFonts w:ascii="Times New Roman" w:hAnsi="Times New Roman" w:cs="Times New Roman"/>
          <w:color w:val="17365D" w:themeColor="text2" w:themeShade="BF"/>
        </w:rPr>
        <w:t xml:space="preserve">Este tipo de sociedad generalmente reúne de </w:t>
      </w:r>
      <w:r w:rsidR="00AB1FC6" w:rsidRPr="003718DE">
        <w:rPr>
          <w:rFonts w:ascii="Times New Roman" w:hAnsi="Times New Roman" w:cs="Times New Roman"/>
          <w:b/>
          <w:color w:val="17365D" w:themeColor="text2" w:themeShade="BF"/>
        </w:rPr>
        <w:t>2 a 4 socios</w:t>
      </w:r>
      <w:r w:rsidR="00AB1FC6" w:rsidRPr="00902760">
        <w:rPr>
          <w:rFonts w:ascii="Times New Roman" w:hAnsi="Times New Roman" w:cs="Times New Roman"/>
          <w:color w:val="17365D" w:themeColor="text2" w:themeShade="BF"/>
        </w:rPr>
        <w:t xml:space="preserve"> y son ellos mismos quienes administran la sociedad. La sociedad Colectiva realiza sus actividades bajo la razón social que se integra con el nombre de todos los socios o de algunos o alguno de ellos, agregándose la expresión “Sociedad Colectiva” o siglas</w:t>
      </w:r>
      <w:r w:rsidR="00AB1FC6" w:rsidRPr="00757B0E">
        <w:rPr>
          <w:rFonts w:ascii="Times New Roman" w:hAnsi="Times New Roman" w:cs="Times New Roman"/>
          <w:b/>
          <w:color w:val="17365D" w:themeColor="text2" w:themeShade="BF"/>
        </w:rPr>
        <w:t>. S.C.</w:t>
      </w:r>
    </w:p>
    <w:p w:rsidR="00AB1FC6" w:rsidRPr="00902760" w:rsidRDefault="00AB1FC6" w:rsidP="00AB1FC6">
      <w:pPr>
        <w:pStyle w:val="Prrafodelista"/>
        <w:ind w:left="567" w:firstLine="786"/>
        <w:rPr>
          <w:rFonts w:ascii="Times New Roman" w:hAnsi="Times New Roman" w:cs="Times New Roman"/>
          <w:color w:val="17365D" w:themeColor="text2" w:themeShade="BF"/>
        </w:rPr>
      </w:pPr>
    </w:p>
    <w:p w:rsidR="00AB1FC6" w:rsidRPr="00902760" w:rsidRDefault="00AB1FC6" w:rsidP="00FE28E9">
      <w:pPr>
        <w:pStyle w:val="Prrafodelista"/>
        <w:numPr>
          <w:ilvl w:val="0"/>
          <w:numId w:val="3"/>
        </w:numPr>
        <w:tabs>
          <w:tab w:val="left" w:pos="851"/>
        </w:tabs>
        <w:ind w:left="567" w:firstLine="0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b/>
          <w:color w:val="632423" w:themeColor="accent2" w:themeShade="80"/>
        </w:rPr>
        <w:lastRenderedPageBreak/>
        <w:t>Sociedades en Comandita:</w:t>
      </w:r>
      <w:r w:rsidRPr="00902760">
        <w:rPr>
          <w:rFonts w:ascii="Times New Roman" w:hAnsi="Times New Roman" w:cs="Times New Roman"/>
          <w:color w:val="17365D" w:themeColor="text2" w:themeShade="BF"/>
        </w:rPr>
        <w:tab/>
        <w:t xml:space="preserve">En estas sociedades existen </w:t>
      </w:r>
      <w:r w:rsidRPr="003718DE">
        <w:rPr>
          <w:rFonts w:ascii="Times New Roman" w:hAnsi="Times New Roman" w:cs="Times New Roman"/>
          <w:b/>
          <w:color w:val="17365D" w:themeColor="text2" w:themeShade="BF"/>
        </w:rPr>
        <w:t>2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clases de socios: </w:t>
      </w:r>
      <w:r w:rsidRPr="003718DE">
        <w:rPr>
          <w:rFonts w:ascii="Times New Roman" w:hAnsi="Times New Roman" w:cs="Times New Roman"/>
          <w:b/>
          <w:color w:val="17365D" w:themeColor="text2" w:themeShade="BF"/>
        </w:rPr>
        <w:t>Colectivos y Comanditarios</w:t>
      </w:r>
      <w:r w:rsidRPr="00902760">
        <w:rPr>
          <w:rFonts w:ascii="Times New Roman" w:hAnsi="Times New Roman" w:cs="Times New Roman"/>
          <w:color w:val="17365D" w:themeColor="text2" w:themeShade="BF"/>
        </w:rPr>
        <w:t>. Los primeros responden solidaria e ilimitadamente por obligaciones sociales, los segundos responden solo hasta la parte</w:t>
      </w:r>
      <w:r w:rsidRPr="00D236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02760">
        <w:rPr>
          <w:rFonts w:ascii="Times New Roman" w:hAnsi="Times New Roman" w:cs="Times New Roman"/>
          <w:color w:val="17365D" w:themeColor="text2" w:themeShade="BF"/>
        </w:rPr>
        <w:t>del capital que se hayan comprometido a aportar. El pacto Social debe contener las reglas particulares a la respectiva forma de sociedad en comandita que se adopte. La sociedad en comandita puede ser simple o por acciones.</w:t>
      </w:r>
    </w:p>
    <w:p w:rsidR="00AB1FC6" w:rsidRPr="00902760" w:rsidRDefault="00AB1FC6" w:rsidP="00AB1FC6">
      <w:pPr>
        <w:pStyle w:val="Prrafodelista"/>
        <w:ind w:left="1353"/>
        <w:rPr>
          <w:rFonts w:ascii="Times New Roman" w:hAnsi="Times New Roman" w:cs="Times New Roman"/>
          <w:color w:val="17365D" w:themeColor="text2" w:themeShade="BF"/>
        </w:rPr>
      </w:pPr>
    </w:p>
    <w:p w:rsidR="00EC623E" w:rsidRPr="00902760" w:rsidRDefault="00AB1FC6" w:rsidP="00AB1FC6">
      <w:pPr>
        <w:pStyle w:val="Prrafodelista"/>
        <w:numPr>
          <w:ilvl w:val="0"/>
          <w:numId w:val="2"/>
        </w:numPr>
        <w:tabs>
          <w:tab w:val="left" w:pos="1134"/>
        </w:tabs>
        <w:ind w:left="567" w:firstLine="0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b/>
          <w:color w:val="632423" w:themeColor="accent2" w:themeShade="80"/>
        </w:rPr>
        <w:t>Sociedad en comandita Simple: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AB1FC6" w:rsidRPr="00902760" w:rsidRDefault="00AB1FC6" w:rsidP="00EC623E">
      <w:pPr>
        <w:pStyle w:val="Prrafodelista"/>
        <w:ind w:left="567" w:firstLine="284"/>
        <w:rPr>
          <w:rFonts w:ascii="Times New Roman" w:hAnsi="Times New Roman" w:cs="Times New Roman"/>
          <w:color w:val="17365D" w:themeColor="text2" w:themeShade="BF"/>
        </w:rPr>
      </w:pPr>
      <w:r w:rsidRPr="00902760">
        <w:rPr>
          <w:rFonts w:ascii="Times New Roman" w:hAnsi="Times New Roman" w:cs="Times New Roman"/>
          <w:color w:val="17365D" w:themeColor="text2" w:themeShade="BF"/>
        </w:rPr>
        <w:t xml:space="preserve">Se forman en base a las disposiciones relativas a la sociedad colectiva. Los aportes se denominan participaciones y no se pueden emitir acciones por las participaciones. Los socios comanditarios pueden </w:t>
      </w:r>
      <w:r w:rsidRPr="003718DE">
        <w:rPr>
          <w:rFonts w:ascii="Times New Roman" w:hAnsi="Times New Roman" w:cs="Times New Roman"/>
          <w:b/>
          <w:color w:val="17365D" w:themeColor="text2" w:themeShade="BF"/>
        </w:rPr>
        <w:t>aportar bienes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718DE">
        <w:rPr>
          <w:rFonts w:ascii="Times New Roman" w:hAnsi="Times New Roman" w:cs="Times New Roman"/>
          <w:b/>
          <w:color w:val="17365D" w:themeColor="text2" w:themeShade="BF"/>
        </w:rPr>
        <w:t>en especie o dinero</w:t>
      </w:r>
      <w:r w:rsidRPr="00902760">
        <w:rPr>
          <w:rFonts w:ascii="Times New Roman" w:hAnsi="Times New Roman" w:cs="Times New Roman"/>
          <w:color w:val="17365D" w:themeColor="text2" w:themeShade="BF"/>
        </w:rPr>
        <w:t xml:space="preserve"> pero no participan en la administración. En cuanto a la razón </w:t>
      </w:r>
      <w:r w:rsidRPr="00902760">
        <w:rPr>
          <w:rFonts w:ascii="Times New Roman" w:hAnsi="Times New Roman" w:cs="Times New Roman"/>
          <w:color w:val="17365D" w:themeColor="text2" w:themeShade="BF"/>
        </w:rPr>
        <w:tab/>
        <w:t xml:space="preserve">Social debe incluir la indicación “Sociedad en Comandita” o simplemente </w:t>
      </w:r>
      <w:r w:rsidRPr="00757B0E">
        <w:rPr>
          <w:rFonts w:ascii="Times New Roman" w:hAnsi="Times New Roman" w:cs="Times New Roman"/>
          <w:b/>
          <w:color w:val="17365D" w:themeColor="text2" w:themeShade="BF"/>
        </w:rPr>
        <w:t>S. en C.</w:t>
      </w:r>
    </w:p>
    <w:p w:rsidR="00AB1FC6" w:rsidRPr="00902760" w:rsidRDefault="00AB1FC6" w:rsidP="00AB1FC6">
      <w:pPr>
        <w:pStyle w:val="Prrafodelista"/>
        <w:tabs>
          <w:tab w:val="left" w:pos="1134"/>
        </w:tabs>
        <w:ind w:left="567"/>
        <w:rPr>
          <w:rFonts w:ascii="Times New Roman" w:hAnsi="Times New Roman" w:cs="Times New Roman"/>
          <w:color w:val="17365D" w:themeColor="text2" w:themeShade="BF"/>
        </w:rPr>
      </w:pPr>
    </w:p>
    <w:sectPr w:rsidR="00AB1FC6" w:rsidRPr="00902760" w:rsidSect="00902760">
      <w:pgSz w:w="16838" w:h="11906" w:orient="landscape"/>
      <w:pgMar w:top="1701" w:right="731" w:bottom="1701" w:left="731" w:header="709" w:footer="709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74.75pt;height:248.95pt" o:bullet="t">
        <v:imagedata r:id="rId1" o:title="EMPRE1"/>
      </v:shape>
    </w:pict>
  </w:numPicBullet>
  <w:abstractNum w:abstractNumId="0">
    <w:nsid w:val="01EB5588"/>
    <w:multiLevelType w:val="hybridMultilevel"/>
    <w:tmpl w:val="1FAC4BEC"/>
    <w:lvl w:ilvl="0" w:tplc="F112C8F4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9C65BED"/>
    <w:multiLevelType w:val="hybridMultilevel"/>
    <w:tmpl w:val="AF249C86"/>
    <w:lvl w:ilvl="0" w:tplc="4232DB0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D15896"/>
    <w:multiLevelType w:val="hybridMultilevel"/>
    <w:tmpl w:val="1C705E88"/>
    <w:lvl w:ilvl="0" w:tplc="FE92AA68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632423" w:themeColor="accent2" w:themeShade="8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FE2BCF"/>
    <w:rsid w:val="000978DE"/>
    <w:rsid w:val="00164676"/>
    <w:rsid w:val="001D38B2"/>
    <w:rsid w:val="00285B08"/>
    <w:rsid w:val="002E20AA"/>
    <w:rsid w:val="003718DE"/>
    <w:rsid w:val="00381A41"/>
    <w:rsid w:val="0043523A"/>
    <w:rsid w:val="004B20D5"/>
    <w:rsid w:val="00504342"/>
    <w:rsid w:val="005258DE"/>
    <w:rsid w:val="00566221"/>
    <w:rsid w:val="00605892"/>
    <w:rsid w:val="00701F38"/>
    <w:rsid w:val="00715998"/>
    <w:rsid w:val="00757B0E"/>
    <w:rsid w:val="007E1349"/>
    <w:rsid w:val="00885B60"/>
    <w:rsid w:val="00902760"/>
    <w:rsid w:val="00947E39"/>
    <w:rsid w:val="009959CF"/>
    <w:rsid w:val="00A07D75"/>
    <w:rsid w:val="00A92524"/>
    <w:rsid w:val="00AB1FC6"/>
    <w:rsid w:val="00BB2C57"/>
    <w:rsid w:val="00BC10FC"/>
    <w:rsid w:val="00C26631"/>
    <w:rsid w:val="00D23653"/>
    <w:rsid w:val="00D5442A"/>
    <w:rsid w:val="00E5115D"/>
    <w:rsid w:val="00E813CC"/>
    <w:rsid w:val="00EC623E"/>
    <w:rsid w:val="00F23E3C"/>
    <w:rsid w:val="00FE28E9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B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B810-5A1E-46EF-A6AA-00316A8D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erick</cp:lastModifiedBy>
  <cp:revision>28</cp:revision>
  <dcterms:created xsi:type="dcterms:W3CDTF">2009-02-28T00:03:00Z</dcterms:created>
  <dcterms:modified xsi:type="dcterms:W3CDTF">2009-03-13T19:45:00Z</dcterms:modified>
</cp:coreProperties>
</file>